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财政部 国家税务总局关于在全国中小企业股份转让系统转让股票有关证券（股票）交易印花税政策的通知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财税〔2014〕47号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北京市财政局、国家税务局：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为落实国务院《关于全国中小企业股份转让系统有关问题的决定》（国发〔2013〕49号）精神，现将在全国中小企业股份转让系统转让股票有关证券（股票）交易印花税政策明确如下：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在全国中小企业股份转让系统买卖、继承、赠与股票所书立的股权转让书据，依书立时实际成交金额，由出让方按 1‰的税率计算缴纳证券（股票）交易印花税。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本通知自2014年6月1日起执行。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财政部 国家税务总局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2014年5月27日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  <w:t xml:space="preserve">发布日期：2014年06月03日 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697C"/>
    <w:rsid w:val="00B06FD7"/>
    <w:rsid w:val="00CF697C"/>
    <w:rsid w:val="3F341843"/>
    <w:rsid w:val="721302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2014-08-28T08:50:00Z</dcterms:created>
  <dc:creator>xupx</dc:creator>
  <cp:lastModifiedBy>Administrator</cp:lastModifiedBy>
  <dcterms:modified xsi:type="dcterms:W3CDTF">2015-04-09T05:42:59Z</dcterms:modified>
  <dc:title>财政部 国家税务总局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